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b/>
          <w:lang w:val="pl-PL"/>
        </w:rPr>
      </w:pPr>
      <w:bookmarkStart w:id="0" w:name="_GoBack"/>
      <w:bookmarkEnd w:id="0"/>
    </w:p>
    <w:p w:rsidR="001436BF" w:rsidRDefault="00946157">
      <w:pPr>
        <w:pStyle w:val="Standard"/>
        <w:spacing w:after="0" w:line="288" w:lineRule="auto"/>
        <w:jc w:val="both"/>
      </w:pPr>
      <w:r>
        <w:rPr>
          <w:rFonts w:ascii="Tahoma" w:hAnsi="Tahoma" w:cs="Tahoma"/>
          <w:b/>
          <w:lang w:val="pl-PL"/>
        </w:rPr>
        <w:t>Nadle</w:t>
      </w:r>
      <w:r>
        <w:rPr>
          <w:rFonts w:ascii="Tahoma" w:hAnsi="Tahoma" w:cs="Tahoma"/>
          <w:b/>
        </w:rPr>
        <w:t>ž</w:t>
      </w:r>
      <w:r>
        <w:rPr>
          <w:rFonts w:ascii="Tahoma" w:hAnsi="Tahoma" w:cs="Tahoma"/>
          <w:b/>
          <w:lang w:val="pl-PL"/>
        </w:rPr>
        <w:t>an trgovaki sud</w:t>
      </w:r>
      <w:r>
        <w:rPr>
          <w:rFonts w:ascii="Tahoma" w:hAnsi="Tahoma" w:cs="Tahoma"/>
          <w:lang w:val="pl-PL"/>
        </w:rPr>
        <w:t>:</w:t>
      </w:r>
      <w:r>
        <w:rPr>
          <w:rFonts w:ascii="Tahoma" w:hAnsi="Tahoma" w:cs="Tahoma"/>
        </w:rPr>
        <w:tab/>
      </w:r>
      <w:r>
        <w:rPr>
          <w:rFonts w:ascii="Tahoma" w:hAnsi="Tahoma" w:cs="Tahoma"/>
          <w:b/>
        </w:rPr>
        <w:t>Trgovački sud u Varaždinu</w:t>
      </w:r>
    </w:p>
    <w:p w:rsidR="001436BF" w:rsidRDefault="00946157">
      <w:pPr>
        <w:pStyle w:val="Standard"/>
        <w:spacing w:after="0" w:line="288" w:lineRule="auto"/>
        <w:jc w:val="both"/>
      </w:pPr>
      <w:r>
        <w:rPr>
          <w:rFonts w:ascii="Tahoma" w:hAnsi="Tahoma" w:cs="Tahoma"/>
          <w:b/>
          <w:lang w:val="pl-PL"/>
        </w:rPr>
        <w:t>Poslovni broj spisa</w:t>
      </w:r>
      <w:r>
        <w:rPr>
          <w:rFonts w:ascii="Tahoma" w:hAnsi="Tahoma" w:cs="Tahoma"/>
          <w:lang w:val="pl-PL"/>
        </w:rPr>
        <w:t>:</w:t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b/>
          <w:lang w:val="pl-PL"/>
        </w:rPr>
        <w:t>St-324/16-9</w:t>
      </w: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 xml:space="preserve">Dužnik: </w:t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  <w:t>MODUS d.o.o. u stečaju</w:t>
      </w:r>
    </w:p>
    <w:p w:rsidR="001436BF" w:rsidRDefault="00946157">
      <w:pPr>
        <w:pStyle w:val="Standard"/>
        <w:spacing w:after="0" w:line="288" w:lineRule="auto"/>
        <w:ind w:left="2127" w:firstLine="709"/>
        <w:jc w:val="both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>Marije Vidović 2, 42000 Varaždin</w:t>
      </w:r>
    </w:p>
    <w:p w:rsidR="001436BF" w:rsidRDefault="00946157">
      <w:pPr>
        <w:pStyle w:val="Standard"/>
        <w:spacing w:after="0" w:line="288" w:lineRule="auto"/>
        <w:ind w:left="2127" w:firstLine="709"/>
        <w:jc w:val="both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>OIB: 79324254661,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1436BF" w:rsidRDefault="00946157">
      <w:pPr>
        <w:pStyle w:val="Standard"/>
        <w:spacing w:after="0" w:line="288" w:lineRule="auto"/>
        <w:jc w:val="both"/>
      </w:pPr>
      <w:r>
        <w:rPr>
          <w:rFonts w:ascii="Tahoma" w:hAnsi="Tahoma" w:cs="Tahoma"/>
          <w:lang w:val="pl-PL"/>
        </w:rPr>
        <w:t xml:space="preserve">Rješenjem </w:t>
      </w:r>
      <w:r>
        <w:rPr>
          <w:rFonts w:ascii="Tahoma" w:hAnsi="Tahoma" w:cs="Tahoma"/>
          <w:lang w:val="pl-PL"/>
        </w:rPr>
        <w:t>Trgovačkog suda u Varaždinu, 22.rujna 2017. godine otvoren je stečajni postupak nad društvom MODUS d.o.o., Marije Vidović 2,Varaždin, OIB: 79324254661, te temeljem č</w:t>
      </w:r>
      <w:r>
        <w:rPr>
          <w:rFonts w:ascii="Tahoma" w:hAnsi="Tahoma" w:cs="Tahoma"/>
        </w:rPr>
        <w:t>l. 227. St. 1. Stečajnog zakona stečajni upravitelj podnosi: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1436BF" w:rsidRDefault="001436BF">
      <w:pPr>
        <w:pStyle w:val="Standard"/>
        <w:spacing w:after="0" w:line="288" w:lineRule="auto"/>
        <w:jc w:val="center"/>
        <w:rPr>
          <w:rFonts w:ascii="Tahoma" w:hAnsi="Tahoma" w:cs="Tahoma"/>
          <w:b/>
        </w:rPr>
      </w:pPr>
    </w:p>
    <w:p w:rsidR="001436BF" w:rsidRDefault="00946157">
      <w:pPr>
        <w:pStyle w:val="Standard"/>
        <w:spacing w:after="0" w:line="288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IZVJEŠĆE STEČAJNOGA UPRAVITE</w:t>
      </w:r>
      <w:r>
        <w:rPr>
          <w:rFonts w:ascii="Tahoma" w:hAnsi="Tahoma" w:cs="Tahoma"/>
          <w:b/>
        </w:rPr>
        <w:t>LJA O GOSPODARSKOM POLOŽAJU STEČAJNOG DUŽNIKA I STANJU IMOVINE I OBVEZA</w:t>
      </w:r>
    </w:p>
    <w:p w:rsidR="001436BF" w:rsidRDefault="001436BF">
      <w:pPr>
        <w:pStyle w:val="Standard"/>
        <w:spacing w:after="0" w:line="288" w:lineRule="auto"/>
        <w:jc w:val="center"/>
        <w:rPr>
          <w:rFonts w:ascii="Tahoma" w:hAnsi="Tahoma" w:cs="Tahoma"/>
          <w:b/>
        </w:rPr>
      </w:pP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b/>
          <w:i/>
          <w:u w:val="single"/>
          <w:lang w:val="pl-PL"/>
        </w:rPr>
      </w:pPr>
      <w:r>
        <w:rPr>
          <w:rFonts w:ascii="Tahoma" w:hAnsi="Tahoma" w:cs="Tahoma"/>
          <w:b/>
          <w:i/>
          <w:u w:val="single"/>
          <w:lang w:val="pl-PL"/>
        </w:rPr>
        <w:t>I.  Opći podaci o stečajnom dužniku i poduzete radnje stečajnog upravitelja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Stečajni dužnik MODUS d.o.o. registriran je kod Trgovačkog suda u Varaždinu, pod MBS: 010053289, s danom </w:t>
      </w:r>
      <w:r>
        <w:rPr>
          <w:rFonts w:ascii="Tahoma" w:hAnsi="Tahoma" w:cs="Tahoma"/>
          <w:lang w:val="pl-PL"/>
        </w:rPr>
        <w:t>21.10.2003. godine kao jednostavo društvo s ograničenom odgovornošću. d.o.o.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1436BF" w:rsidRDefault="00946157">
      <w:pPr>
        <w:pStyle w:val="Standard"/>
        <w:spacing w:after="0" w:line="288" w:lineRule="auto"/>
        <w:jc w:val="both"/>
      </w:pPr>
      <w:r>
        <w:t xml:space="preserve"> </w:t>
      </w:r>
      <w:r>
        <w:rPr>
          <w:rFonts w:ascii="Tahoma" w:hAnsi="Tahoma" w:cs="Tahoma"/>
          <w:lang w:val="pl-PL"/>
        </w:rPr>
        <w:t>Osnivači/članovi društva</w:t>
      </w: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Martina Jakupić, OIB: 77634262690</w:t>
      </w: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Koprivnica, Severovac 4/a</w:t>
      </w: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- jedini član j.d.o.o.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Osobe ovlaštene za zastupanje</w:t>
      </w: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Martina Jakupić, OIB: 77634262690</w:t>
      </w: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Koprivnica, Severovac 4/a</w:t>
      </w: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- direktor</w:t>
      </w: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- zastupa samostalno i neograničeno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lastRenderedPageBreak/>
        <w:t>Osnovna djelatnost stečajnog dužnika bila je djelatnost arhitektonske djelatnosti, šifre djelatnosti 71120 po NKD-u. Na dan otvaranja stečajnog postupka dužnik nije imao zaposlene r</w:t>
      </w:r>
      <w:r>
        <w:rPr>
          <w:rFonts w:ascii="Tahoma" w:hAnsi="Tahoma" w:cs="Tahoma"/>
          <w:lang w:val="pl-PL"/>
        </w:rPr>
        <w:t>adnike.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Sukladno Stečajnom zakonu, nakon otvaranja stečajnog postupka nad navedenim dužnikom, objavljen je oglas o otvaranju stečajnog postupka na e-oglasnoj ploči suda dana 22. rujna 2017. godine sa pozivom vjerovnicima da prijave svoje tražbine u steča</w:t>
      </w:r>
      <w:r>
        <w:rPr>
          <w:rFonts w:ascii="Tahoma" w:hAnsi="Tahoma" w:cs="Tahoma"/>
          <w:lang w:val="pl-PL"/>
        </w:rPr>
        <w:t>jni postupak, te poziv dužnikovim dužnicima da ispune svoje obveze prema stečajnom dužniku bez odlaganja stečajnom upravitelju.Također zakazano je izvještajno i ispitno ročište za dan 30. siječnja 2018. godine.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1436BF" w:rsidRDefault="00946157">
      <w:pPr>
        <w:pStyle w:val="Standard"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 sudsku pisarnicu predane su prijave svih p</w:t>
      </w:r>
      <w:r>
        <w:rPr>
          <w:rFonts w:ascii="Tahoma" w:hAnsi="Tahoma" w:cs="Tahoma"/>
        </w:rPr>
        <w:t>ristiglih tražbina stečajnih vjerovnika, obavijest o razlučnom pravu na nekretnini, popis zastupnika stečajnih vjerovnika, tablica uplaćenih sudskih pristojba kao i popis predmeta stečajne mase, pregled imovine i obveza stečajnog dužnika.</w:t>
      </w: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Stečajni upravit</w:t>
      </w:r>
      <w:r>
        <w:rPr>
          <w:rFonts w:ascii="Tahoma" w:hAnsi="Tahoma" w:cs="Tahoma"/>
          <w:lang w:val="pl-PL"/>
        </w:rPr>
        <w:t>elj preuzeo je dužnost  danom otvaranja stečajnog postupka te su nakon preuzimanja dužnosti poduzete aktivnosti kako slijedi: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1436BF" w:rsidRDefault="00946157">
      <w:pPr>
        <w:pStyle w:val="Odlomakpopisa"/>
        <w:numPr>
          <w:ilvl w:val="0"/>
          <w:numId w:val="31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preuzet je stari štambilj i izrađen je novi štambilj stečajnog dužnika s oznakom „u stečaju“,</w:t>
      </w:r>
    </w:p>
    <w:p w:rsidR="001436BF" w:rsidRDefault="00946157">
      <w:pPr>
        <w:pStyle w:val="Odlomakpopisa"/>
        <w:numPr>
          <w:ilvl w:val="0"/>
          <w:numId w:val="19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zatražena je dokumentacija stečajn</w:t>
      </w:r>
      <w:r>
        <w:rPr>
          <w:rFonts w:ascii="Tahoma" w:hAnsi="Tahoma" w:cs="Tahoma"/>
          <w:lang w:val="pl-PL"/>
        </w:rPr>
        <w:t>og dužnika,</w:t>
      </w:r>
    </w:p>
    <w:p w:rsidR="001436BF" w:rsidRDefault="00946157">
      <w:pPr>
        <w:pStyle w:val="Standard"/>
        <w:numPr>
          <w:ilvl w:val="0"/>
          <w:numId w:val="19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izrađena je početna stečajna bilanca,</w:t>
      </w:r>
    </w:p>
    <w:p w:rsidR="001436BF" w:rsidRDefault="00946157">
      <w:pPr>
        <w:pStyle w:val="Standard"/>
        <w:numPr>
          <w:ilvl w:val="0"/>
          <w:numId w:val="19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sastavljene su tablice tražbina prema isplatnim redovima ( I i II viši isplatni red)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1436BF" w:rsidRDefault="001436BF">
      <w:pPr>
        <w:pStyle w:val="Standard"/>
        <w:spacing w:after="0" w:line="288" w:lineRule="auto"/>
        <w:ind w:left="357"/>
        <w:jc w:val="both"/>
        <w:rPr>
          <w:rFonts w:ascii="Tahoma" w:hAnsi="Tahoma" w:cs="Tahoma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b/>
          <w:i/>
          <w:u w:val="single"/>
          <w:lang w:val="pl-PL"/>
        </w:rPr>
      </w:pPr>
      <w:r>
        <w:rPr>
          <w:rFonts w:ascii="Tahoma" w:hAnsi="Tahoma" w:cs="Tahoma"/>
          <w:b/>
          <w:i/>
          <w:u w:val="single"/>
          <w:lang w:val="pl-PL"/>
        </w:rPr>
        <w:t>II. Stanje stečajne mase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iCs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Predlagatelj - Financijska agencija podnio je sudu dana 30.listopada 2015.godine prijedlog </w:t>
      </w:r>
      <w:r>
        <w:rPr>
          <w:rFonts w:ascii="Tahoma" w:hAnsi="Tahoma" w:cs="Tahoma"/>
        </w:rPr>
        <w:t>radi utvrđivanja uvjeta za otvaranje stečajnog postupka budući da je bio nesposoban za plaćanje u neprekidnom razdoblju od 120 dana. Vjerovnik RH Ministarstvo financija, Porezna uprava Varaždin, predložio je otvaranje stečajnog postupka. Sud je primjenom č</w:t>
      </w:r>
      <w:r>
        <w:rPr>
          <w:rFonts w:ascii="Tahoma" w:hAnsi="Tahoma" w:cs="Tahoma"/>
        </w:rPr>
        <w:t>l. 433. SZ-a Rješenjem St-647/15-6 od 23. prosinca 2015. obustavio skra</w:t>
      </w:r>
    </w:p>
    <w:p w:rsidR="001436BF" w:rsidRDefault="00946157">
      <w:pPr>
        <w:pStyle w:val="Standard"/>
        <w:spacing w:after="0" w:line="288" w:lineRule="auto"/>
        <w:jc w:val="both"/>
      </w:pPr>
      <w:r>
        <w:rPr>
          <w:rFonts w:ascii="Tahoma" w:hAnsi="Tahoma" w:cs="Tahoma"/>
        </w:rPr>
        <w:t xml:space="preserve">eni stečajni postupak te je donio Rješenje poslovni broj St-324/16-4 od 13. veljače 2017. kojim je pokrenut prethodni postupak radi utvrđivanja uvjeta za otvaranje stečajnog </w:t>
      </w:r>
      <w:r>
        <w:rPr>
          <w:rFonts w:ascii="Tahoma" w:hAnsi="Tahoma" w:cs="Tahoma"/>
        </w:rPr>
        <w:lastRenderedPageBreak/>
        <w:t xml:space="preserve">postupka. </w:t>
      </w:r>
      <w:r>
        <w:rPr>
          <w:rFonts w:ascii="Tahoma" w:hAnsi="Tahoma" w:cs="Tahoma"/>
        </w:rPr>
        <w:t>S obzirom da se stečaj može otvoriti kada je ispunjen jedan od zakonom predviđenih stečajnih razloga, te je sud primjenom čl.128.,129. i 130. Stečajnog zakona donio rješenje o otvaranju stečajnog postupka.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>U cilju izrade početne stečajne bilance, te preg</w:t>
      </w:r>
      <w:r>
        <w:rPr>
          <w:rFonts w:ascii="Tahoma" w:hAnsi="Tahoma" w:cs="Tahoma"/>
          <w:iCs/>
        </w:rPr>
        <w:t>leda imovine i obveza stečajnog dužnika sukladno čl. 223. Stečajnog zakona angažiran je knjigovodstveni servis BIRO PLUS d.o.o. iz Čakovca i zatražena je knjigovodstvena dokumentacija stečajnog dužnika. Direktoru dužnika poslan je dopis za dostavu dokument</w:t>
      </w:r>
      <w:r>
        <w:rPr>
          <w:rFonts w:ascii="Tahoma" w:hAnsi="Tahoma" w:cs="Tahoma"/>
          <w:iCs/>
        </w:rPr>
        <w:t>acije koja je dostavljena sa zadnjom bilancom za 2010. godinu.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iCs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>Stečajni upravitelj kontaktirao je direktora Martinu i Josipa Jakupića  za ostatatak dokumentacije do 2016. godine. Imenovani su dali pisanu izjavu kojom izjavljuju da poduzeće ne posluje od 2</w:t>
      </w:r>
      <w:r>
        <w:rPr>
          <w:rFonts w:ascii="Tahoma" w:hAnsi="Tahoma" w:cs="Tahoma"/>
          <w:iCs/>
        </w:rPr>
        <w:t>010. godine, da nema zaposlenih radnika, niti ikakve imovine, te da drugu dokumentaciju ne posjeduju.</w:t>
      </w: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 xml:space="preserve">  </w:t>
      </w: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>Zadnje predano izvješće na stranicama sudskog registra odnosi se na 2015.godinu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eastAsia="Times New Roman" w:hAnsi="Tahoma" w:cs="Tahoma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-prilog 1: Izjava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b/>
          <w:iCs/>
          <w:u w:val="single"/>
        </w:rPr>
      </w:pPr>
      <w:r>
        <w:rPr>
          <w:rFonts w:ascii="Tahoma" w:hAnsi="Tahoma" w:cs="Tahoma"/>
          <w:b/>
          <w:iCs/>
          <w:u w:val="single"/>
        </w:rPr>
        <w:t>Utvrđena početna stečajna bilanca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iCs/>
        </w:rPr>
      </w:pPr>
    </w:p>
    <w:p w:rsidR="001436BF" w:rsidRDefault="00946157">
      <w:pPr>
        <w:pStyle w:val="Standard"/>
        <w:spacing w:after="0" w:line="288" w:lineRule="auto"/>
        <w:jc w:val="both"/>
      </w:pPr>
      <w:r>
        <w:rPr>
          <w:rFonts w:ascii="Tahoma" w:hAnsi="Tahoma" w:cs="Tahoma"/>
          <w:iCs/>
        </w:rPr>
        <w:t>Po izvršenoj an</w:t>
      </w:r>
      <w:r>
        <w:rPr>
          <w:rFonts w:ascii="Tahoma" w:hAnsi="Tahoma" w:cs="Tahoma"/>
          <w:iCs/>
        </w:rPr>
        <w:t xml:space="preserve">alizi dostavljene bilance stečajnog dužnika, utvrđenih prijavljenih tražbina vjerovnika stečajnog dužnika,  izrađena je sukladno članku 227. Stečajnog zakona početna stečajna bilanca, s iskazanim stanjem imovine u iznosu od </w:t>
      </w:r>
      <w:r>
        <w:rPr>
          <w:rFonts w:ascii="Tahoma" w:hAnsi="Tahoma" w:cs="Tahoma"/>
          <w:b/>
          <w:iCs/>
        </w:rPr>
        <w:t>0,00 kn</w:t>
      </w:r>
      <w:r>
        <w:rPr>
          <w:rFonts w:ascii="Tahoma" w:hAnsi="Tahoma" w:cs="Tahoma"/>
          <w:iCs/>
        </w:rPr>
        <w:t xml:space="preserve"> i obveza u iznosu od </w:t>
      </w:r>
      <w:r>
        <w:rPr>
          <w:rFonts w:ascii="Tahoma" w:hAnsi="Tahoma" w:cs="Tahoma"/>
          <w:b/>
          <w:iCs/>
        </w:rPr>
        <w:t>1.1</w:t>
      </w:r>
      <w:r>
        <w:rPr>
          <w:rFonts w:ascii="Tahoma" w:hAnsi="Tahoma" w:cs="Tahoma"/>
          <w:b/>
          <w:iCs/>
        </w:rPr>
        <w:t>08.704,61 kn,</w:t>
      </w:r>
      <w:r>
        <w:rPr>
          <w:rFonts w:ascii="Tahoma" w:hAnsi="Tahoma" w:cs="Tahoma"/>
          <w:iCs/>
        </w:rPr>
        <w:t xml:space="preserve"> a kako je prikazano  u Tabeli 1.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color w:val="FF0000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bCs/>
          <w:i/>
        </w:rPr>
      </w:pPr>
      <w:r>
        <w:rPr>
          <w:rFonts w:ascii="Tahoma" w:hAnsi="Tahoma" w:cs="Tahoma"/>
          <w:bCs/>
          <w:i/>
        </w:rPr>
        <w:t>Tabela 1.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eastAsia="Times New Roman" w:hAnsi="Tahoma" w:cs="Tahoma"/>
          <w:b/>
          <w:sz w:val="28"/>
          <w:szCs w:val="28"/>
        </w:rPr>
      </w:pPr>
    </w:p>
    <w:tbl>
      <w:tblPr>
        <w:tblW w:w="975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4"/>
        <w:gridCol w:w="4252"/>
        <w:gridCol w:w="2703"/>
        <w:gridCol w:w="2129"/>
      </w:tblGrid>
      <w:tr w:rsidR="001436BF">
        <w:tblPrEx>
          <w:tblCellMar>
            <w:top w:w="0" w:type="dxa"/>
            <w:bottom w:w="0" w:type="dxa"/>
          </w:tblCellMar>
        </w:tblPrEx>
        <w:tc>
          <w:tcPr>
            <w:tcW w:w="674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center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>R.br</w:t>
            </w:r>
          </w:p>
        </w:tc>
        <w:tc>
          <w:tcPr>
            <w:tcW w:w="4252" w:type="dxa"/>
            <w:tcBorders>
              <w:top w:val="doub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eastAsia="Times New Roman" w:hAnsi="Tahoma" w:cs="Tahoma"/>
                <w:caps/>
              </w:rPr>
              <w:t>O</w:t>
            </w:r>
            <w:r>
              <w:rPr>
                <w:rFonts w:ascii="Tahoma" w:eastAsia="Times New Roman" w:hAnsi="Tahoma" w:cs="Tahoma"/>
              </w:rPr>
              <w:t>pis imovine</w:t>
            </w:r>
          </w:p>
        </w:tc>
        <w:tc>
          <w:tcPr>
            <w:tcW w:w="2703" w:type="dxa"/>
            <w:tcBorders>
              <w:top w:val="doub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center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>Knjigovodstvena</w:t>
            </w:r>
          </w:p>
          <w:p w:rsidR="001436BF" w:rsidRDefault="00946157">
            <w:pPr>
              <w:pStyle w:val="Standard"/>
              <w:spacing w:after="0" w:line="240" w:lineRule="auto"/>
              <w:jc w:val="center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>vrijednost dugotrajne imovine na dan  31.12.2015.</w:t>
            </w:r>
          </w:p>
        </w:tc>
        <w:tc>
          <w:tcPr>
            <w:tcW w:w="2129" w:type="dxa"/>
            <w:tcBorders>
              <w:top w:val="double" w:sz="2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center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>Knjigovodstvena                                  vrijednost  22.09.2017.</w:t>
            </w:r>
          </w:p>
        </w:tc>
      </w:tr>
      <w:tr w:rsidR="001436BF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67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 xml:space="preserve">                  1.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 xml:space="preserve">                                                                         Dugotrajna imovina</w:t>
            </w:r>
          </w:p>
        </w:tc>
        <w:tc>
          <w:tcPr>
            <w:tcW w:w="2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 xml:space="preserve">                                        476.527,00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 xml:space="preserve">                               0,00</w:t>
            </w:r>
          </w:p>
        </w:tc>
      </w:tr>
      <w:tr w:rsidR="001436BF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67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1436BF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</w:p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2.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 xml:space="preserve">                                                                      </w:t>
            </w:r>
            <w:r>
              <w:rPr>
                <w:rFonts w:ascii="Tahoma" w:eastAsia="Times New Roman" w:hAnsi="Tahoma" w:cs="Tahoma"/>
              </w:rPr>
              <w:t>Novac na računu i blagajni</w:t>
            </w:r>
          </w:p>
        </w:tc>
        <w:tc>
          <w:tcPr>
            <w:tcW w:w="2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 xml:space="preserve">                                     620,00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 xml:space="preserve">                                    0,00</w:t>
            </w:r>
          </w:p>
        </w:tc>
      </w:tr>
      <w:tr w:rsidR="001436BF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67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lastRenderedPageBreak/>
              <w:t xml:space="preserve">                  A)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 xml:space="preserve">                                                                            Imovina ( r.br.1+2)</w:t>
            </w:r>
          </w:p>
        </w:tc>
        <w:tc>
          <w:tcPr>
            <w:tcW w:w="2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 xml:space="preserve">                               477.147,00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 xml:space="preserve">                            0,00</w:t>
            </w:r>
          </w:p>
        </w:tc>
      </w:tr>
      <w:tr w:rsidR="001436BF">
        <w:tblPrEx>
          <w:tblCellMar>
            <w:top w:w="0" w:type="dxa"/>
            <w:bottom w:w="0" w:type="dxa"/>
          </w:tblCellMar>
        </w:tblPrEx>
        <w:tc>
          <w:tcPr>
            <w:tcW w:w="67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 xml:space="preserve">                R.br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1436BF">
            <w:pPr>
              <w:pStyle w:val="Standard"/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  <w:p w:rsidR="001436BF" w:rsidRDefault="00946157">
            <w:pPr>
              <w:pStyle w:val="Standard"/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Obveze</w:t>
            </w:r>
          </w:p>
        </w:tc>
        <w:tc>
          <w:tcPr>
            <w:tcW w:w="2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center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>Knjigovodstvena</w:t>
            </w:r>
          </w:p>
          <w:p w:rsidR="001436BF" w:rsidRDefault="00946157">
            <w:pPr>
              <w:pStyle w:val="Standard"/>
              <w:spacing w:after="0" w:line="240" w:lineRule="auto"/>
              <w:jc w:val="center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>vrijednost dugotrajne imovine na dan  31.12.2015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eastAsia="Times New Roman" w:hAnsi="Tahoma" w:cs="Tahoma"/>
                <w:b/>
                <w:caps/>
              </w:rPr>
              <w:t>P</w:t>
            </w:r>
            <w:r>
              <w:rPr>
                <w:rFonts w:ascii="Tahoma" w:eastAsia="Times New Roman" w:hAnsi="Tahoma" w:cs="Tahoma"/>
                <w:b/>
              </w:rPr>
              <w:t>rijavljene- ispitane tražbine</w:t>
            </w:r>
          </w:p>
        </w:tc>
      </w:tr>
      <w:tr w:rsidR="001436BF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67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1.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Obveze za poreze i doprinose</w:t>
            </w:r>
          </w:p>
        </w:tc>
        <w:tc>
          <w:tcPr>
            <w:tcW w:w="270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223.100,00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doub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459.200,19</w:t>
            </w:r>
          </w:p>
        </w:tc>
      </w:tr>
      <w:tr w:rsidR="001436BF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67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2.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Obveze prema dobavljačima</w:t>
            </w:r>
          </w:p>
        </w:tc>
        <w:tc>
          <w:tcPr>
            <w:tcW w:w="270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869.700,00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doub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24.216,74</w:t>
            </w:r>
          </w:p>
        </w:tc>
      </w:tr>
      <w:tr w:rsidR="001436BF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67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3.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Obveze prema bankama za kredit</w:t>
            </w:r>
          </w:p>
        </w:tc>
        <w:tc>
          <w:tcPr>
            <w:tcW w:w="270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645.800,00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doub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634.108,89</w:t>
            </w:r>
          </w:p>
        </w:tc>
      </w:tr>
      <w:tr w:rsidR="001436BF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674" w:type="dxa"/>
            <w:tcBorders>
              <w:top w:val="single" w:sz="4" w:space="0" w:color="000001"/>
              <w:left w:val="double" w:sz="2" w:space="0" w:color="000001"/>
              <w:bottom w:val="double" w:sz="2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1436BF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double" w:sz="2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 xml:space="preserve">                                                                      Obveze (r.br.1+2+3)</w:t>
            </w:r>
          </w:p>
        </w:tc>
        <w:tc>
          <w:tcPr>
            <w:tcW w:w="2703" w:type="dxa"/>
            <w:tcBorders>
              <w:top w:val="single" w:sz="4" w:space="0" w:color="000001"/>
              <w:left w:val="single" w:sz="4" w:space="0" w:color="000001"/>
              <w:bottom w:val="double" w:sz="2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 xml:space="preserve">                          1.738.600,00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double" w:sz="2" w:space="0" w:color="000001"/>
              <w:right w:val="double" w:sz="2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6BF" w:rsidRDefault="00946157">
            <w:pPr>
              <w:pStyle w:val="Standard"/>
              <w:spacing w:after="0" w:line="240" w:lineRule="auto"/>
              <w:jc w:val="right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 xml:space="preserve">               </w:t>
            </w:r>
            <w:r>
              <w:rPr>
                <w:rFonts w:ascii="Tahoma" w:eastAsia="Times New Roman" w:hAnsi="Tahoma" w:cs="Tahoma"/>
                <w:b/>
              </w:rPr>
              <w:t>1.117.525,82</w:t>
            </w:r>
          </w:p>
        </w:tc>
      </w:tr>
    </w:tbl>
    <w:p w:rsidR="001436BF" w:rsidRDefault="001436BF">
      <w:pPr>
        <w:pStyle w:val="Standard"/>
        <w:spacing w:after="0" w:line="240" w:lineRule="auto"/>
        <w:rPr>
          <w:rFonts w:ascii="Tahoma" w:eastAsia="Times New Roman" w:hAnsi="Tahoma" w:cs="Tahoma"/>
        </w:rPr>
      </w:pPr>
    </w:p>
    <w:p w:rsidR="001436BF" w:rsidRDefault="001436BF">
      <w:pPr>
        <w:pStyle w:val="Standard"/>
        <w:spacing w:after="0" w:line="240" w:lineRule="auto"/>
        <w:rPr>
          <w:rFonts w:ascii="Century Gothic" w:eastAsia="Times New Roman" w:hAnsi="Century Gothic" w:cs="Times New Roman"/>
        </w:rPr>
      </w:pPr>
    </w:p>
    <w:p w:rsidR="001436BF" w:rsidRDefault="00946157">
      <w:pPr>
        <w:pStyle w:val="Standard"/>
        <w:spacing w:after="0" w:line="288" w:lineRule="auto"/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 ) IMOVINA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iCs/>
          <w:u w:val="single"/>
        </w:rPr>
      </w:pPr>
    </w:p>
    <w:p w:rsidR="001436BF" w:rsidRDefault="00946157">
      <w:pPr>
        <w:pStyle w:val="Odlomakpopisa"/>
        <w:numPr>
          <w:ilvl w:val="0"/>
          <w:numId w:val="32"/>
        </w:numPr>
        <w:spacing w:after="0" w:line="288" w:lineRule="auto"/>
        <w:jc w:val="both"/>
        <w:rPr>
          <w:rFonts w:ascii="Tahoma" w:hAnsi="Tahoma" w:cs="Tahoma"/>
          <w:b/>
          <w:bCs/>
          <w:iCs/>
          <w:u w:val="single"/>
        </w:rPr>
      </w:pPr>
      <w:r>
        <w:rPr>
          <w:rFonts w:ascii="Tahoma" w:hAnsi="Tahoma" w:cs="Tahoma"/>
          <w:b/>
          <w:bCs/>
          <w:iCs/>
          <w:u w:val="single"/>
        </w:rPr>
        <w:t>Nekretnina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iCs/>
          <w:u w:val="single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Nekretnina u vlasništvu stečajnog dužnika evidentirane je u poslovnim knjigama stečajnog dužnika u iznosu od 476.527,00 kn, a odnosila se na nekretninu upisane u zk.ul.br. 13424 k.o. Koprivnica,u naravi </w:t>
      </w:r>
      <w:r>
        <w:rPr>
          <w:rFonts w:ascii="Tahoma" w:hAnsi="Tahoma" w:cs="Tahoma"/>
        </w:rPr>
        <w:t>stambeno-poslovna zgrada br. 2 u ul. P. Miškine, kat. čestice 1212 i suvlasnički dio 114/6000 etažno vlasništvo (E-5) garažni parking oznake G5 u podrumu površine 12,48 m2.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1436BF" w:rsidRDefault="00946157">
      <w:pPr>
        <w:pStyle w:val="Standard"/>
        <w:spacing w:after="0" w:line="288" w:lineRule="auto"/>
        <w:jc w:val="both"/>
      </w:pPr>
      <w:r>
        <w:rPr>
          <w:rFonts w:ascii="Tahoma" w:hAnsi="Tahoma" w:cs="Tahoma"/>
        </w:rPr>
        <w:t>Zaključkom od 31.svibnja 2016. godine navedena nekretnina ovršenika Modus d.o.o. p</w:t>
      </w:r>
      <w:r>
        <w:rPr>
          <w:rFonts w:ascii="Tahoma" w:hAnsi="Tahoma" w:cs="Tahoma"/>
        </w:rPr>
        <w:t xml:space="preserve">redana je u korist ovrhovoditelja-kupca </w:t>
      </w:r>
      <w:bookmarkStart w:id="1" w:name="_Hlk500155176"/>
      <w:r>
        <w:rPr>
          <w:rFonts w:ascii="Tahoma" w:hAnsi="Tahoma" w:cs="Tahoma"/>
        </w:rPr>
        <w:t>Erste &amp; Steiermarkische bank d.d. Rijeka</w:t>
      </w:r>
      <w:bookmarkEnd w:id="1"/>
      <w:r>
        <w:rPr>
          <w:rFonts w:ascii="Tahoma" w:hAnsi="Tahoma" w:cs="Tahoma"/>
        </w:rPr>
        <w:t xml:space="preserve">, Jadranski trg 3a, OIB: 23057039320. Ukupno potraživanje ovrhovoditelja , radi naplate kojeg je pokrenut ovršni postupak iznosilo je ukupno 1.288.240,57 kn te je podmiren dio </w:t>
      </w:r>
      <w:r>
        <w:rPr>
          <w:rFonts w:ascii="Tahoma" w:hAnsi="Tahoma" w:cs="Tahoma"/>
        </w:rPr>
        <w:t>potraživanja, dok je za ostatak tražbine sa danom 16.12.2016. godine sklopljen Ugovor o cesiji sa B2 KAPITAL d.o.o. Zagreb za iznos od 450.053,56 kn koji je prijavio i svoju tražbinu kao vjerovnik II. višeg isplatnog reda (tražbina priznata u cijelosti).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1436BF" w:rsidRDefault="00946157">
      <w:pPr>
        <w:pStyle w:val="Standard"/>
        <w:numPr>
          <w:ilvl w:val="0"/>
          <w:numId w:val="33"/>
        </w:numPr>
        <w:spacing w:after="0" w:line="288" w:lineRule="auto"/>
        <w:jc w:val="both"/>
        <w:rPr>
          <w:rFonts w:ascii="Tahoma" w:hAnsi="Tahoma" w:cs="Tahoma"/>
          <w:i/>
        </w:rPr>
      </w:pPr>
      <w:bookmarkStart w:id="2" w:name="_Hlk500143675"/>
      <w:r>
        <w:rPr>
          <w:rFonts w:ascii="Tahoma" w:hAnsi="Tahoma" w:cs="Tahoma"/>
          <w:i/>
        </w:rPr>
        <w:t>prilog 2: podnesak ovrhovoditelja za obračun potraživanja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i/>
        </w:rPr>
      </w:pP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i/>
        </w:rPr>
      </w:pP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i/>
        </w:rPr>
      </w:pPr>
    </w:p>
    <w:bookmarkEnd w:id="2"/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i/>
        </w:rPr>
      </w:pPr>
    </w:p>
    <w:p w:rsidR="001436BF" w:rsidRDefault="00946157">
      <w:pPr>
        <w:pStyle w:val="Odlomakpopisa"/>
        <w:spacing w:after="0" w:line="288" w:lineRule="auto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lastRenderedPageBreak/>
        <w:t>2.Novac na računu i blagajni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b/>
          <w:u w:val="single"/>
        </w:rPr>
      </w:pPr>
    </w:p>
    <w:p w:rsidR="001436BF" w:rsidRDefault="00946157">
      <w:pPr>
        <w:pStyle w:val="Standard"/>
        <w:spacing w:line="288" w:lineRule="auto"/>
      </w:pPr>
      <w:r>
        <w:rPr>
          <w:rFonts w:ascii="Tahoma" w:hAnsi="Tahoma" w:cs="Tahoma"/>
        </w:rPr>
        <w:t>Stanje u poslovnim knjigama stečajnog dužnika prije otvaranja stečaja evidentirana su u iznosu od 620,00 kn. Međutim račun stečajnog dužnika nalazi se već duže vrij</w:t>
      </w:r>
      <w:r>
        <w:rPr>
          <w:rFonts w:ascii="Tahoma" w:hAnsi="Tahoma" w:cs="Tahoma"/>
        </w:rPr>
        <w:t xml:space="preserve">eme u blokadi što nije rasknjiženo u poslovnim knjigama stečajnog dužnika jer ne posluje već od 2010. godine, obzirom na situaciju na početnoj stečajnoj bilanci vrijednost se iskazuje u iznosu od </w:t>
      </w:r>
      <w:r>
        <w:rPr>
          <w:rFonts w:ascii="Tahoma" w:hAnsi="Tahoma" w:cs="Tahoma"/>
          <w:b/>
        </w:rPr>
        <w:t>0,00 kn</w:t>
      </w:r>
      <w:r>
        <w:rPr>
          <w:rFonts w:ascii="Tahoma" w:hAnsi="Tahoma" w:cs="Tahoma"/>
        </w:rPr>
        <w:t>.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bCs/>
          <w:i/>
          <w:iCs/>
        </w:rPr>
      </w:pPr>
      <w:r>
        <w:rPr>
          <w:rFonts w:ascii="Tahoma" w:hAnsi="Tahoma" w:cs="Tahoma"/>
          <w:bCs/>
          <w:i/>
          <w:iCs/>
        </w:rPr>
        <w:t xml:space="preserve">  </w:t>
      </w:r>
    </w:p>
    <w:p w:rsidR="001436BF" w:rsidRDefault="00946157">
      <w:pPr>
        <w:pStyle w:val="Standard"/>
        <w:spacing w:after="0" w:line="288" w:lineRule="auto"/>
        <w:jc w:val="both"/>
      </w:pPr>
      <w:r>
        <w:rPr>
          <w:rFonts w:ascii="Tahoma" w:hAnsi="Tahoma" w:cs="Tahoma"/>
          <w:bCs/>
          <w:i/>
          <w:iCs/>
        </w:rPr>
        <w:t>Slijedom iznesenog, stečajni dužnik ne posjedu</w:t>
      </w:r>
      <w:r>
        <w:rPr>
          <w:rFonts w:ascii="Tahoma" w:hAnsi="Tahoma" w:cs="Tahoma"/>
          <w:bCs/>
          <w:i/>
          <w:iCs/>
        </w:rPr>
        <w:t xml:space="preserve">je nikakvu imovinu te se vrijednost imovine procjenjuje na </w:t>
      </w:r>
      <w:r>
        <w:rPr>
          <w:rFonts w:ascii="Tahoma" w:hAnsi="Tahoma" w:cs="Tahoma"/>
          <w:b/>
          <w:bCs/>
          <w:i/>
          <w:iCs/>
        </w:rPr>
        <w:t>0,00 kn.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bCs/>
          <w:i/>
          <w:iCs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bCs/>
          <w:i/>
          <w:iCs/>
        </w:rPr>
      </w:pPr>
      <w:r>
        <w:rPr>
          <w:rFonts w:ascii="Tahoma" w:hAnsi="Tahoma" w:cs="Tahoma"/>
          <w:bCs/>
          <w:i/>
          <w:iCs/>
        </w:rPr>
        <w:t xml:space="preserve"> </w:t>
      </w:r>
    </w:p>
    <w:p w:rsidR="001436BF" w:rsidRDefault="00946157">
      <w:pPr>
        <w:pStyle w:val="Odlomakpopisa"/>
        <w:numPr>
          <w:ilvl w:val="0"/>
          <w:numId w:val="34"/>
        </w:numPr>
        <w:spacing w:after="0" w:line="288" w:lineRule="aut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OBVEZE</w:t>
      </w:r>
    </w:p>
    <w:p w:rsidR="001436BF" w:rsidRDefault="001436BF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1436BF" w:rsidRDefault="00946157">
      <w:pPr>
        <w:pStyle w:val="Standard"/>
        <w:spacing w:after="0" w:line="288" w:lineRule="auto"/>
        <w:jc w:val="both"/>
      </w:pPr>
      <w:r>
        <w:rPr>
          <w:rFonts w:ascii="Tahoma" w:hAnsi="Tahoma" w:cs="Tahoma"/>
        </w:rPr>
        <w:t>Do Ispitnog ročišta zaprimljeno je 7</w:t>
      </w:r>
      <w:r>
        <w:rPr>
          <w:rFonts w:ascii="Tahoma" w:hAnsi="Tahoma" w:cs="Tahoma"/>
        </w:rPr>
        <w:t xml:space="preserve"> tražbina stečajnih vjerovnika tako da ukupno prijavljene i priznate tražbine stečajnih vjerovnika iznose </w:t>
      </w:r>
      <w:r>
        <w:rPr>
          <w:rFonts w:ascii="Tahoma" w:hAnsi="Tahoma" w:cs="Tahoma"/>
          <w:b/>
        </w:rPr>
        <w:t>1.117.525,82 kn,</w:t>
      </w:r>
      <w:r>
        <w:rPr>
          <w:rFonts w:ascii="Tahoma" w:hAnsi="Tahoma" w:cs="Tahoma"/>
        </w:rPr>
        <w:t xml:space="preserve"> te su u odnosu na red isplate svrstane u tražbine: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1436BF" w:rsidRDefault="00946157">
      <w:pPr>
        <w:pStyle w:val="Odlomakpopisa"/>
        <w:numPr>
          <w:ilvl w:val="0"/>
          <w:numId w:val="35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 višeg isplatnog reda u iznosu od        99.818,97 kn</w:t>
      </w:r>
    </w:p>
    <w:p w:rsidR="001436BF" w:rsidRDefault="00946157">
      <w:pPr>
        <w:pStyle w:val="Odlomakpopisa"/>
        <w:numPr>
          <w:ilvl w:val="0"/>
          <w:numId w:val="10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II višeg isplatnog reda u </w:t>
      </w:r>
      <w:r>
        <w:rPr>
          <w:rFonts w:ascii="Tahoma" w:hAnsi="Tahoma" w:cs="Tahoma"/>
        </w:rPr>
        <w:t>iznosu od    1.017.706,85 kn</w:t>
      </w:r>
    </w:p>
    <w:p w:rsidR="001436BF" w:rsidRDefault="001436BF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1436BF" w:rsidRDefault="00946157">
      <w:pPr>
        <w:pStyle w:val="Standard"/>
        <w:spacing w:after="0" w:line="288" w:lineRule="auto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Vjerovnici I. višeg isplatnog reda odnosi se na  poreze i doprinose iz i na plaće za bivše radnike koje vodi Ministarstvo financija koje je prijavilo tražbinu, vjerovnici II. višeg isplatnog reda su dobavljači , banke i Minist</w:t>
      </w:r>
      <w:r>
        <w:rPr>
          <w:rFonts w:ascii="Tahoma" w:hAnsi="Tahoma" w:cs="Tahoma"/>
        </w:rPr>
        <w:t>arstvo financija za poreze.</w:t>
      </w:r>
    </w:p>
    <w:p w:rsidR="001436BF" w:rsidRDefault="001436BF">
      <w:pPr>
        <w:pStyle w:val="Standard"/>
        <w:spacing w:after="0" w:line="288" w:lineRule="auto"/>
        <w:ind w:left="360"/>
        <w:jc w:val="both"/>
        <w:rPr>
          <w:rFonts w:ascii="Tahoma" w:hAnsi="Tahoma" w:cs="Tahoma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Ministarstvo financija, Područni ured sjeverna Hrvatska, Porezna uprava Varaždin, obavijestilo je o postojanju razlučnog prava na nekretnini koja je prodana u ovršnom postupku temeljem Rješenja o dosudi Općinskog suda u Koprivn</w:t>
      </w:r>
      <w:r>
        <w:rPr>
          <w:rFonts w:ascii="Tahoma" w:hAnsi="Tahoma" w:cs="Tahoma"/>
          <w:i/>
        </w:rPr>
        <w:t>ici Ovr-579/14 od 22.04.2016.godine Erste &amp; Steiermarkische bank d.d. Rijeka.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i/>
        </w:rPr>
      </w:pPr>
    </w:p>
    <w:p w:rsidR="001436BF" w:rsidRDefault="00946157">
      <w:pPr>
        <w:pStyle w:val="Standard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prilog 3: Rješenje o dosudi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i/>
        </w:rPr>
      </w:pP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i/>
        </w:rPr>
      </w:pP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i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b/>
          <w:i/>
          <w:u w:val="single"/>
          <w:lang w:val="pl-PL"/>
        </w:rPr>
      </w:pPr>
      <w:r>
        <w:rPr>
          <w:rFonts w:ascii="Tahoma" w:hAnsi="Tahoma" w:cs="Tahoma"/>
          <w:b/>
          <w:i/>
          <w:u w:val="single"/>
          <w:lang w:val="pl-PL"/>
        </w:rPr>
        <w:t>III.  Prijedlozi stečajnog upravitelja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Slijedom iznesenog, stečajni dužnik MODUS d.o.o. nema uvjeta za nastavak bilo kakve djelatnosti i </w:t>
      </w:r>
      <w:r>
        <w:rPr>
          <w:rFonts w:ascii="Tahoma" w:hAnsi="Tahoma" w:cs="Tahoma"/>
        </w:rPr>
        <w:t>daljnjeg poslovanja. Također iz pribavljene dokumentacije proizlazi da stečajni dužnik ne raspolaže nikakvom stečajnom masom kao i da ne postoji mogućnost prihodovanja u stečajnu masu, zbog čega stečajni upravitelj predlaže da se donesu slijedeće Odluke: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1436BF" w:rsidRDefault="00946157">
      <w:pPr>
        <w:pStyle w:val="Odlomakpopisa"/>
        <w:numPr>
          <w:ilvl w:val="0"/>
          <w:numId w:val="37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prihvaćanje izvješća stečajnog upravitelja o gospodarskom položaju stečajnog dužnika i do sada poduzetim radnjama stečajnog upravitelja,</w:t>
      </w:r>
    </w:p>
    <w:p w:rsidR="001436BF" w:rsidRDefault="00946157">
      <w:pPr>
        <w:pStyle w:val="Odlomakpopisa"/>
        <w:numPr>
          <w:ilvl w:val="0"/>
          <w:numId w:val="15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obzirom da stečajna mase nije dostatna ni za namirenje stečajnog postupka predlaže se da sud sukladno čl. 293 t.1 SZ </w:t>
      </w:r>
      <w:r>
        <w:rPr>
          <w:rFonts w:ascii="Tahoma" w:hAnsi="Tahoma" w:cs="Tahoma"/>
        </w:rPr>
        <w:t>obustavi i zaključi stečajni postupak</w:t>
      </w:r>
    </w:p>
    <w:p w:rsidR="001436BF" w:rsidRDefault="00946157">
      <w:pPr>
        <w:pStyle w:val="Odlomakpopisa"/>
        <w:numPr>
          <w:ilvl w:val="0"/>
          <w:numId w:val="15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donošenje odluke o nagradi stečajnog upravitelja i troškova stečajnog postupka na teret Fonda iz čl. 111 st. 3 SZ</w:t>
      </w:r>
    </w:p>
    <w:p w:rsidR="001436BF" w:rsidRDefault="001436BF">
      <w:pPr>
        <w:pStyle w:val="Standard"/>
        <w:spacing w:after="0" w:line="288" w:lineRule="auto"/>
        <w:ind w:left="4956" w:firstLine="708"/>
        <w:jc w:val="both"/>
        <w:rPr>
          <w:rFonts w:ascii="Tahoma" w:hAnsi="Tahoma" w:cs="Tahoma"/>
        </w:rPr>
      </w:pPr>
    </w:p>
    <w:p w:rsidR="001436BF" w:rsidRDefault="001436BF">
      <w:pPr>
        <w:pStyle w:val="Standard"/>
        <w:spacing w:after="0" w:line="288" w:lineRule="auto"/>
        <w:ind w:left="4956" w:firstLine="708"/>
        <w:jc w:val="both"/>
        <w:rPr>
          <w:rFonts w:ascii="Tahoma" w:hAnsi="Tahoma" w:cs="Tahoma"/>
        </w:rPr>
      </w:pPr>
    </w:p>
    <w:p w:rsidR="001436BF" w:rsidRDefault="001436BF">
      <w:pPr>
        <w:pStyle w:val="Standard"/>
        <w:spacing w:after="0" w:line="288" w:lineRule="auto"/>
        <w:ind w:left="4956" w:firstLine="708"/>
        <w:jc w:val="both"/>
        <w:rPr>
          <w:rFonts w:ascii="Tahoma" w:hAnsi="Tahoma" w:cs="Tahoma"/>
        </w:rPr>
      </w:pPr>
    </w:p>
    <w:p w:rsidR="001436BF" w:rsidRDefault="001436BF">
      <w:pPr>
        <w:pStyle w:val="Standard"/>
        <w:spacing w:after="0" w:line="288" w:lineRule="auto"/>
        <w:ind w:left="4956" w:firstLine="708"/>
        <w:jc w:val="both"/>
        <w:rPr>
          <w:rFonts w:ascii="Tahoma" w:hAnsi="Tahoma" w:cs="Tahoma"/>
        </w:rPr>
      </w:pPr>
    </w:p>
    <w:p w:rsidR="001436BF" w:rsidRDefault="00946157">
      <w:pPr>
        <w:pStyle w:val="Standard"/>
        <w:spacing w:after="0" w:line="288" w:lineRule="auto"/>
        <w:ind w:left="4956"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 MODUS d.o.o. u stečaju</w:t>
      </w:r>
    </w:p>
    <w:p w:rsidR="001436BF" w:rsidRDefault="00946157">
      <w:pPr>
        <w:pStyle w:val="Standard"/>
        <w:spacing w:after="0" w:line="288" w:lineRule="auto"/>
        <w:ind w:left="4956"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Stečajni upravitelj Zvonko Hrain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u w:val="single"/>
        </w:rPr>
      </w:pP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u w:val="single"/>
        </w:rPr>
      </w:pPr>
    </w:p>
    <w:p w:rsidR="001436BF" w:rsidRDefault="00946157">
      <w:pPr>
        <w:pStyle w:val="Standard"/>
        <w:spacing w:after="0" w:line="288" w:lineRule="auto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Prilozi uz izvješće:</w:t>
      </w:r>
    </w:p>
    <w:p w:rsidR="001436BF" w:rsidRDefault="001436BF">
      <w:pPr>
        <w:pStyle w:val="Standard"/>
        <w:spacing w:after="0" w:line="288" w:lineRule="auto"/>
        <w:jc w:val="both"/>
        <w:rPr>
          <w:rFonts w:ascii="Tahoma" w:hAnsi="Tahoma" w:cs="Tahoma"/>
          <w:i/>
        </w:rPr>
      </w:pPr>
    </w:p>
    <w:p w:rsidR="001436BF" w:rsidRDefault="00946157">
      <w:pPr>
        <w:pStyle w:val="Odlomakpopisa"/>
        <w:numPr>
          <w:ilvl w:val="0"/>
          <w:numId w:val="38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tablica prijavlje</w:t>
      </w:r>
      <w:r>
        <w:rPr>
          <w:rFonts w:ascii="Tahoma" w:hAnsi="Tahoma" w:cs="Tahoma"/>
        </w:rPr>
        <w:t>nih i priznatih tražbina I viši isplatni red (tražbine br. 1)</w:t>
      </w:r>
    </w:p>
    <w:p w:rsidR="001436BF" w:rsidRDefault="00946157">
      <w:pPr>
        <w:pStyle w:val="Odlomakpopisa"/>
        <w:numPr>
          <w:ilvl w:val="0"/>
          <w:numId w:val="4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tablica prijavljenih i priznatih tražbina II viši isplatni red (tražbine br. 1-6) tablica ukupno prijavljenih i priznatih tražbina sa postotkom (I i II viši isplatni red)</w:t>
      </w:r>
    </w:p>
    <w:p w:rsidR="001436BF" w:rsidRDefault="00946157">
      <w:pPr>
        <w:pStyle w:val="Odlomakpopisa"/>
        <w:numPr>
          <w:ilvl w:val="0"/>
          <w:numId w:val="4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obavijest  postojanju r</w:t>
      </w:r>
      <w:r>
        <w:rPr>
          <w:rFonts w:ascii="Tahoma" w:hAnsi="Tahoma" w:cs="Tahoma"/>
        </w:rPr>
        <w:t>azlučnog prava</w:t>
      </w:r>
    </w:p>
    <w:p w:rsidR="001436BF" w:rsidRDefault="00946157">
      <w:pPr>
        <w:pStyle w:val="Odlomakpopisa"/>
        <w:numPr>
          <w:ilvl w:val="0"/>
          <w:numId w:val="4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tablica uplaćenih sudskih pristojbi</w:t>
      </w:r>
    </w:p>
    <w:p w:rsidR="001436BF" w:rsidRDefault="00946157">
      <w:pPr>
        <w:pStyle w:val="Odlomakpopisa"/>
        <w:numPr>
          <w:ilvl w:val="0"/>
          <w:numId w:val="4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tablica popisa zastupnika stečajnih vjerovnika</w:t>
      </w:r>
    </w:p>
    <w:p w:rsidR="001436BF" w:rsidRDefault="00946157">
      <w:pPr>
        <w:pStyle w:val="Odlomakpopisa"/>
        <w:numPr>
          <w:ilvl w:val="0"/>
          <w:numId w:val="4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popis predmeta stečajne mase (čl. 221. SZ)   </w:t>
      </w:r>
    </w:p>
    <w:p w:rsidR="001436BF" w:rsidRDefault="00946157">
      <w:pPr>
        <w:pStyle w:val="Odlomakpopisa"/>
        <w:numPr>
          <w:ilvl w:val="0"/>
          <w:numId w:val="4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pregled imovine i obveza (čl. 223 SZ)</w:t>
      </w:r>
    </w:p>
    <w:p w:rsidR="001436BF" w:rsidRDefault="001436BF">
      <w:pPr>
        <w:pStyle w:val="Standard"/>
        <w:spacing w:after="0" w:line="288" w:lineRule="auto"/>
        <w:ind w:left="142"/>
        <w:jc w:val="both"/>
        <w:rPr>
          <w:rFonts w:ascii="Tahoma" w:hAnsi="Tahoma" w:cs="Tahoma"/>
        </w:rPr>
      </w:pPr>
    </w:p>
    <w:p w:rsidR="001436BF" w:rsidRDefault="001436BF">
      <w:pPr>
        <w:pStyle w:val="Standard"/>
        <w:spacing w:line="288" w:lineRule="auto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1436BF" w:rsidRDefault="001436BF">
      <w:pPr>
        <w:pStyle w:val="Standard"/>
        <w:spacing w:line="288" w:lineRule="auto"/>
        <w:jc w:val="both"/>
        <w:rPr>
          <w:rFonts w:ascii="Century Gothic" w:hAnsi="Century Gothic" w:cs="Century Gothic"/>
          <w:b/>
          <w:sz w:val="28"/>
          <w:szCs w:val="28"/>
        </w:rPr>
      </w:pPr>
    </w:p>
    <w:p w:rsidR="001436BF" w:rsidRDefault="001436BF">
      <w:pPr>
        <w:pStyle w:val="Standard"/>
      </w:pPr>
    </w:p>
    <w:sectPr w:rsidR="001436BF">
      <w:headerReference w:type="default" r:id="rId8"/>
      <w:footerReference w:type="default" r:id="rId9"/>
      <w:pgSz w:w="12240" w:h="15840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46157">
      <w:pPr>
        <w:spacing w:after="0" w:line="240" w:lineRule="auto"/>
      </w:pPr>
      <w:r>
        <w:separator/>
      </w:r>
    </w:p>
  </w:endnote>
  <w:endnote w:type="continuationSeparator" w:id="0">
    <w:p w:rsidR="00000000" w:rsidRDefault="00946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1D" w:rsidRDefault="00946157">
    <w:pPr>
      <w:pStyle w:val="Podnoje"/>
      <w:jc w:val="center"/>
    </w:pPr>
  </w:p>
  <w:p w:rsidR="0009751D" w:rsidRDefault="00946157">
    <w:pPr>
      <w:pStyle w:val="Podnoje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4615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946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1D" w:rsidRDefault="00946157">
    <w:pPr>
      <w:pStyle w:val="Standard"/>
      <w:spacing w:after="0" w:line="288" w:lineRule="auto"/>
      <w:jc w:val="center"/>
      <w:rPr>
        <w:rFonts w:ascii="Tahoma" w:hAnsi="Tahoma" w:cs="Tahoma"/>
        <w:b/>
        <w:i/>
        <w:sz w:val="22"/>
        <w:szCs w:val="22"/>
      </w:rPr>
    </w:pPr>
    <w:r>
      <w:rPr>
        <w:rFonts w:ascii="Tahoma" w:hAnsi="Tahoma" w:cs="Tahoma"/>
        <w:b/>
        <w:i/>
        <w:sz w:val="22"/>
        <w:szCs w:val="22"/>
      </w:rPr>
      <w:t>MODUS d.o.o. u stečaju</w:t>
    </w:r>
  </w:p>
  <w:p w:rsidR="0009751D" w:rsidRDefault="00946157">
    <w:pPr>
      <w:pStyle w:val="Standard"/>
      <w:spacing w:after="0" w:line="288" w:lineRule="auto"/>
      <w:jc w:val="center"/>
      <w:rPr>
        <w:rFonts w:ascii="Tahoma" w:hAnsi="Tahoma" w:cs="Tahoma"/>
        <w:b/>
      </w:rPr>
    </w:pPr>
    <w:r>
      <w:rPr>
        <w:rFonts w:ascii="Tahoma" w:hAnsi="Tahoma" w:cs="Tahoma"/>
        <w:b/>
      </w:rPr>
      <w:t>Marije Vidović 2, 42 000 Varaždin</w:t>
    </w:r>
  </w:p>
  <w:p w:rsidR="0009751D" w:rsidRDefault="00946157">
    <w:pPr>
      <w:pStyle w:val="Standard"/>
      <w:pBdr>
        <w:bottom w:val="double" w:sz="2" w:space="1" w:color="00000A"/>
      </w:pBdr>
      <w:spacing w:after="0" w:line="288" w:lineRule="auto"/>
      <w:jc w:val="center"/>
      <w:rPr>
        <w:rFonts w:ascii="Tahoma" w:hAnsi="Tahoma" w:cs="Tahoma"/>
        <w:b/>
      </w:rPr>
    </w:pPr>
    <w:r>
      <w:rPr>
        <w:rFonts w:ascii="Tahoma" w:hAnsi="Tahoma" w:cs="Tahoma"/>
        <w:b/>
      </w:rPr>
      <w:t xml:space="preserve"> OIB: 91023590481, St- 324/16</w:t>
    </w:r>
  </w:p>
  <w:p w:rsidR="0009751D" w:rsidRDefault="00946157">
    <w:pPr>
      <w:pStyle w:val="Standard"/>
      <w:spacing w:after="0" w:line="288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5E2B"/>
    <w:multiLevelType w:val="multilevel"/>
    <w:tmpl w:val="BF6E6EF4"/>
    <w:styleLink w:val="WWNum19"/>
    <w:lvl w:ilvl="0">
      <w:numFmt w:val="bullet"/>
      <w:lvlText w:val="•"/>
      <w:lvlJc w:val="left"/>
      <w:rPr>
        <w:rFonts w:ascii="Tahoma" w:eastAsia="Calibri" w:hAnsi="Tahoma" w:cs="Tahoma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076A24EB"/>
    <w:multiLevelType w:val="multilevel"/>
    <w:tmpl w:val="22683626"/>
    <w:styleLink w:val="WWNum29"/>
    <w:lvl w:ilvl="0">
      <w:start w:val="1"/>
      <w:numFmt w:val="upp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D207950"/>
    <w:multiLevelType w:val="multilevel"/>
    <w:tmpl w:val="7D56C3C4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1F6D58DA"/>
    <w:multiLevelType w:val="multilevel"/>
    <w:tmpl w:val="C01A2562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1475230"/>
    <w:multiLevelType w:val="multilevel"/>
    <w:tmpl w:val="A1387B88"/>
    <w:styleLink w:val="WWNum1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29B13190"/>
    <w:multiLevelType w:val="multilevel"/>
    <w:tmpl w:val="58285372"/>
    <w:styleLink w:val="WWNum8"/>
    <w:lvl w:ilvl="0">
      <w:numFmt w:val="bullet"/>
      <w:lvlText w:val="-"/>
      <w:lvlJc w:val="left"/>
      <w:rPr>
        <w:rFonts w:ascii="Tahoma" w:hAnsi="Tahoma" w:cs="Calibri"/>
        <w:i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2A7A459F"/>
    <w:multiLevelType w:val="multilevel"/>
    <w:tmpl w:val="4F76B4B2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2B22610B"/>
    <w:multiLevelType w:val="multilevel"/>
    <w:tmpl w:val="37866BCA"/>
    <w:styleLink w:val="WWNum3"/>
    <w:lvl w:ilvl="0">
      <w:start w:val="1"/>
      <w:numFmt w:val="decimal"/>
      <w:lvlText w:val="%1."/>
      <w:lvlJc w:val="left"/>
      <w:rPr>
        <w:i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2B4B045E"/>
    <w:multiLevelType w:val="multilevel"/>
    <w:tmpl w:val="51D84F7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2E774AF2"/>
    <w:multiLevelType w:val="multilevel"/>
    <w:tmpl w:val="C30AFC6E"/>
    <w:styleLink w:val="WWNum2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33C54EAF"/>
    <w:multiLevelType w:val="multilevel"/>
    <w:tmpl w:val="C42663F0"/>
    <w:styleLink w:val="WWNum7"/>
    <w:lvl w:ilvl="0">
      <w:numFmt w:val="bullet"/>
      <w:lvlText w:val="-"/>
      <w:lvlJc w:val="left"/>
      <w:rPr>
        <w:rFonts w:ascii="Tahoma" w:hAnsi="Tahoma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start w:val="1"/>
      <w:numFmt w:val="decimal"/>
      <w:lvlText w:val="%4."/>
      <w:lvlJc w:val="left"/>
      <w:rPr>
        <w:b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3A367177"/>
    <w:multiLevelType w:val="multilevel"/>
    <w:tmpl w:val="5C4EB810"/>
    <w:styleLink w:val="WWNum23"/>
    <w:lvl w:ilvl="0">
      <w:numFmt w:val="bullet"/>
      <w:lvlText w:val="-"/>
      <w:lvlJc w:val="left"/>
      <w:rPr>
        <w:rFonts w:ascii="Tahoma" w:hAnsi="Tahoma" w:cs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45DA00AE"/>
    <w:multiLevelType w:val="multilevel"/>
    <w:tmpl w:val="A7F26126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>
    <w:nsid w:val="45E34C58"/>
    <w:multiLevelType w:val="multilevel"/>
    <w:tmpl w:val="3FCCD668"/>
    <w:styleLink w:val="WWNum18"/>
    <w:lvl w:ilvl="0">
      <w:numFmt w:val="bullet"/>
      <w:lvlText w:val="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45FD3E0E"/>
    <w:multiLevelType w:val="multilevel"/>
    <w:tmpl w:val="CDA84E24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>
    <w:nsid w:val="465D225D"/>
    <w:multiLevelType w:val="multilevel"/>
    <w:tmpl w:val="FA227DC6"/>
    <w:styleLink w:val="WWNum2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49255701"/>
    <w:multiLevelType w:val="multilevel"/>
    <w:tmpl w:val="08A02806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4ADA5D55"/>
    <w:multiLevelType w:val="multilevel"/>
    <w:tmpl w:val="8402CB16"/>
    <w:styleLink w:val="WWNum14"/>
    <w:lvl w:ilvl="0">
      <w:start w:val="4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>
    <w:nsid w:val="5314657F"/>
    <w:multiLevelType w:val="multilevel"/>
    <w:tmpl w:val="249CC96A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54231351"/>
    <w:multiLevelType w:val="multilevel"/>
    <w:tmpl w:val="81869832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>
    <w:nsid w:val="57B34498"/>
    <w:multiLevelType w:val="multilevel"/>
    <w:tmpl w:val="8D4AFCA2"/>
    <w:styleLink w:val="WWNum2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>
    <w:nsid w:val="598E5CDB"/>
    <w:multiLevelType w:val="multilevel"/>
    <w:tmpl w:val="FC0CF990"/>
    <w:styleLink w:val="WWNum1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>
    <w:nsid w:val="5D89128A"/>
    <w:multiLevelType w:val="multilevel"/>
    <w:tmpl w:val="CF186BC4"/>
    <w:styleLink w:val="WWNum1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>
    <w:nsid w:val="5DB37592"/>
    <w:multiLevelType w:val="multilevel"/>
    <w:tmpl w:val="7A1291EC"/>
    <w:styleLink w:val="WWNum13"/>
    <w:lvl w:ilvl="0">
      <w:numFmt w:val="bullet"/>
      <w:lvlText w:val="-"/>
      <w:lvlJc w:val="left"/>
      <w:rPr>
        <w:rFonts w:ascii="Tahoma" w:hAnsi="Tahoma" w:cs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60294D38"/>
    <w:multiLevelType w:val="multilevel"/>
    <w:tmpl w:val="2B98AFD2"/>
    <w:styleLink w:val="WWNum16"/>
    <w:lvl w:ilvl="0">
      <w:numFmt w:val="bullet"/>
      <w:lvlText w:val="-"/>
      <w:lvlJc w:val="left"/>
      <w:rPr>
        <w:rFonts w:ascii="Tahoma" w:hAnsi="Tahoma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>
    <w:nsid w:val="63503E83"/>
    <w:multiLevelType w:val="multilevel"/>
    <w:tmpl w:val="CEB48A82"/>
    <w:styleLink w:val="WWNum2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>
    <w:nsid w:val="660D4730"/>
    <w:multiLevelType w:val="multilevel"/>
    <w:tmpl w:val="A20074DA"/>
    <w:styleLink w:val="WW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>
    <w:nsid w:val="67A315DA"/>
    <w:multiLevelType w:val="multilevel"/>
    <w:tmpl w:val="09CE5F00"/>
    <w:styleLink w:val="WWNum2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>
    <w:nsid w:val="6A1F7543"/>
    <w:multiLevelType w:val="multilevel"/>
    <w:tmpl w:val="B7745118"/>
    <w:styleLink w:val="WWNum30"/>
    <w:lvl w:ilvl="0">
      <w:start w:val="1"/>
      <w:numFmt w:val="decimal"/>
      <w:lvlText w:val="%1."/>
      <w:lvlJc w:val="left"/>
      <w:rPr>
        <w:b/>
      </w:rPr>
    </w:lvl>
    <w:lvl w:ilvl="1">
      <w:start w:val="553"/>
      <w:numFmt w:val="decimal"/>
      <w:lvlText w:val="%1.%2"/>
      <w:lvlJc w:val="left"/>
    </w:lvl>
    <w:lvl w:ilvl="2">
      <w:start w:val="820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">
    <w:nsid w:val="6BAB51DE"/>
    <w:multiLevelType w:val="multilevel"/>
    <w:tmpl w:val="02A6F71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0">
    <w:nsid w:val="71731375"/>
    <w:multiLevelType w:val="multilevel"/>
    <w:tmpl w:val="27B6EB02"/>
    <w:styleLink w:val="WWNum6"/>
    <w:lvl w:ilvl="0">
      <w:numFmt w:val="bullet"/>
      <w:lvlText w:val="-"/>
      <w:lvlJc w:val="left"/>
      <w:rPr>
        <w:rFonts w:ascii="Tahoma" w:hAnsi="Tahoma" w:cs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>
    <w:nsid w:val="7DD1151C"/>
    <w:multiLevelType w:val="multilevel"/>
    <w:tmpl w:val="20585692"/>
    <w:styleLink w:val="WWNum2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8"/>
  </w:num>
  <w:num w:numId="5">
    <w:abstractNumId w:val="16"/>
  </w:num>
  <w:num w:numId="6">
    <w:abstractNumId w:val="30"/>
  </w:num>
  <w:num w:numId="7">
    <w:abstractNumId w:val="10"/>
  </w:num>
  <w:num w:numId="8">
    <w:abstractNumId w:val="5"/>
  </w:num>
  <w:num w:numId="9">
    <w:abstractNumId w:val="14"/>
  </w:num>
  <w:num w:numId="10">
    <w:abstractNumId w:val="4"/>
  </w:num>
  <w:num w:numId="11">
    <w:abstractNumId w:val="12"/>
  </w:num>
  <w:num w:numId="12">
    <w:abstractNumId w:val="6"/>
  </w:num>
  <w:num w:numId="13">
    <w:abstractNumId w:val="23"/>
  </w:num>
  <w:num w:numId="14">
    <w:abstractNumId w:val="17"/>
  </w:num>
  <w:num w:numId="15">
    <w:abstractNumId w:val="22"/>
  </w:num>
  <w:num w:numId="16">
    <w:abstractNumId w:val="24"/>
  </w:num>
  <w:num w:numId="17">
    <w:abstractNumId w:val="21"/>
  </w:num>
  <w:num w:numId="18">
    <w:abstractNumId w:val="13"/>
  </w:num>
  <w:num w:numId="19">
    <w:abstractNumId w:val="0"/>
  </w:num>
  <w:num w:numId="20">
    <w:abstractNumId w:val="31"/>
  </w:num>
  <w:num w:numId="21">
    <w:abstractNumId w:val="20"/>
  </w:num>
  <w:num w:numId="22">
    <w:abstractNumId w:val="15"/>
  </w:num>
  <w:num w:numId="23">
    <w:abstractNumId w:val="11"/>
  </w:num>
  <w:num w:numId="24">
    <w:abstractNumId w:val="26"/>
  </w:num>
  <w:num w:numId="25">
    <w:abstractNumId w:val="9"/>
  </w:num>
  <w:num w:numId="26">
    <w:abstractNumId w:val="25"/>
  </w:num>
  <w:num w:numId="27">
    <w:abstractNumId w:val="2"/>
  </w:num>
  <w:num w:numId="28">
    <w:abstractNumId w:val="27"/>
  </w:num>
  <w:num w:numId="29">
    <w:abstractNumId w:val="1"/>
  </w:num>
  <w:num w:numId="30">
    <w:abstractNumId w:val="28"/>
  </w:num>
  <w:num w:numId="31">
    <w:abstractNumId w:val="0"/>
    <w:lvlOverride w:ilvl="0"/>
  </w:num>
  <w:num w:numId="32">
    <w:abstractNumId w:val="25"/>
    <w:lvlOverride w:ilvl="0">
      <w:startOverride w:val="1"/>
    </w:lvlOverride>
  </w:num>
  <w:num w:numId="33">
    <w:abstractNumId w:val="29"/>
  </w:num>
  <w:num w:numId="34">
    <w:abstractNumId w:val="1"/>
    <w:lvlOverride w:ilvl="0">
      <w:startOverride w:val="1"/>
    </w:lvlOverride>
  </w:num>
  <w:num w:numId="35">
    <w:abstractNumId w:val="4"/>
    <w:lvlOverride w:ilvl="0"/>
  </w:num>
  <w:num w:numId="36">
    <w:abstractNumId w:val="8"/>
  </w:num>
  <w:num w:numId="37">
    <w:abstractNumId w:val="22"/>
    <w:lvlOverride w:ilvl="0"/>
  </w:num>
  <w:num w:numId="38">
    <w:abstractNumId w:val="18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436BF"/>
    <w:rsid w:val="001436BF"/>
    <w:rsid w:val="0094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hr-HR" w:eastAsia="hr-HR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hAnsi="Times New Roman" w:cs="Mangal"/>
      <w:sz w:val="24"/>
      <w:szCs w:val="24"/>
      <w:lang w:eastAsia="zh-CN" w:bidi="hi-IN"/>
    </w:rPr>
  </w:style>
  <w:style w:type="paragraph" w:styleId="Naslov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dnaslov">
    <w:name w:val="Subtitle"/>
    <w:basedOn w:val="Naslov"/>
    <w:next w:val="Textbody"/>
    <w:pPr>
      <w:jc w:val="center"/>
    </w:pPr>
    <w:rPr>
      <w:i/>
      <w:iCs/>
    </w:r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Odlomakpopisa">
    <w:name w:val="List Paragraph"/>
    <w:basedOn w:val="Standard"/>
  </w:style>
  <w:style w:type="paragraph" w:styleId="Zaglavlje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balonia">
    <w:name w:val="Balloon Text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i/>
      <w:u w:val="none"/>
    </w:rPr>
  </w:style>
  <w:style w:type="character" w:customStyle="1" w:styleId="ListLabel3">
    <w:name w:val="ListLabel 3"/>
    <w:rPr>
      <w:rFonts w:cs="Calibri"/>
    </w:rPr>
  </w:style>
  <w:style w:type="character" w:customStyle="1" w:styleId="ListLabel4">
    <w:name w:val="ListLabel 4"/>
    <w:rPr>
      <w:b/>
    </w:rPr>
  </w:style>
  <w:style w:type="character" w:customStyle="1" w:styleId="ListLabel5">
    <w:name w:val="ListLabel 5"/>
    <w:rPr>
      <w:rFonts w:cs="Calibri"/>
      <w:i/>
      <w:u w:val="none"/>
    </w:rPr>
  </w:style>
  <w:style w:type="character" w:customStyle="1" w:styleId="ListLabel6">
    <w:name w:val="ListLabel 6"/>
    <w:rPr>
      <w:rFonts w:eastAsia="Calibri" w:cs="Tahoma"/>
    </w:rPr>
  </w:style>
  <w:style w:type="character" w:customStyle="1" w:styleId="ZaglavljeChar">
    <w:name w:val="Zaglavlje Char"/>
    <w:basedOn w:val="Zadanifontodlomka"/>
  </w:style>
  <w:style w:type="character" w:customStyle="1" w:styleId="PodnojeChar">
    <w:name w:val="Podnožje Char"/>
    <w:basedOn w:val="Zadanifontodlomka"/>
  </w:style>
  <w:style w:type="character" w:customStyle="1" w:styleId="TekstbaloniaChar">
    <w:name w:val="Tekst balončića Char"/>
    <w:basedOn w:val="Zadanifontodlomka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  <w:style w:type="numbering" w:customStyle="1" w:styleId="WWNum4">
    <w:name w:val="WWNum4"/>
    <w:basedOn w:val="Bezpopisa"/>
    <w:pPr>
      <w:numPr>
        <w:numId w:val="4"/>
      </w:numPr>
    </w:pPr>
  </w:style>
  <w:style w:type="numbering" w:customStyle="1" w:styleId="WWNum5">
    <w:name w:val="WWNum5"/>
    <w:basedOn w:val="Bezpopisa"/>
    <w:pPr>
      <w:numPr>
        <w:numId w:val="5"/>
      </w:numPr>
    </w:pPr>
  </w:style>
  <w:style w:type="numbering" w:customStyle="1" w:styleId="WWNum6">
    <w:name w:val="WWNum6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8">
    <w:name w:val="WWNum8"/>
    <w:basedOn w:val="Bezpopisa"/>
    <w:pPr>
      <w:numPr>
        <w:numId w:val="8"/>
      </w:numPr>
    </w:pPr>
  </w:style>
  <w:style w:type="numbering" w:customStyle="1" w:styleId="WWNum9">
    <w:name w:val="WWNum9"/>
    <w:basedOn w:val="Bezpopisa"/>
    <w:pPr>
      <w:numPr>
        <w:numId w:val="9"/>
      </w:numPr>
    </w:pPr>
  </w:style>
  <w:style w:type="numbering" w:customStyle="1" w:styleId="WWNum10">
    <w:name w:val="WWNum10"/>
    <w:basedOn w:val="Bezpopisa"/>
    <w:pPr>
      <w:numPr>
        <w:numId w:val="10"/>
      </w:numPr>
    </w:pPr>
  </w:style>
  <w:style w:type="numbering" w:customStyle="1" w:styleId="WWNum11">
    <w:name w:val="WWNum11"/>
    <w:basedOn w:val="Bezpopisa"/>
    <w:pPr>
      <w:numPr>
        <w:numId w:val="11"/>
      </w:numPr>
    </w:pPr>
  </w:style>
  <w:style w:type="numbering" w:customStyle="1" w:styleId="WWNum12">
    <w:name w:val="WWNum12"/>
    <w:basedOn w:val="Bezpopisa"/>
    <w:pPr>
      <w:numPr>
        <w:numId w:val="12"/>
      </w:numPr>
    </w:pPr>
  </w:style>
  <w:style w:type="numbering" w:customStyle="1" w:styleId="WWNum13">
    <w:name w:val="WWNum13"/>
    <w:basedOn w:val="Bezpopisa"/>
    <w:pPr>
      <w:numPr>
        <w:numId w:val="13"/>
      </w:numPr>
    </w:pPr>
  </w:style>
  <w:style w:type="numbering" w:customStyle="1" w:styleId="WWNum14">
    <w:name w:val="WWNum14"/>
    <w:basedOn w:val="Bezpopisa"/>
    <w:pPr>
      <w:numPr>
        <w:numId w:val="14"/>
      </w:numPr>
    </w:pPr>
  </w:style>
  <w:style w:type="numbering" w:customStyle="1" w:styleId="WWNum15">
    <w:name w:val="WWNum15"/>
    <w:basedOn w:val="Bezpopisa"/>
    <w:pPr>
      <w:numPr>
        <w:numId w:val="15"/>
      </w:numPr>
    </w:pPr>
  </w:style>
  <w:style w:type="numbering" w:customStyle="1" w:styleId="WWNum16">
    <w:name w:val="WWNum16"/>
    <w:basedOn w:val="Bezpopisa"/>
    <w:pPr>
      <w:numPr>
        <w:numId w:val="16"/>
      </w:numPr>
    </w:pPr>
  </w:style>
  <w:style w:type="numbering" w:customStyle="1" w:styleId="WWNum17">
    <w:name w:val="WWNum17"/>
    <w:basedOn w:val="Bezpopisa"/>
    <w:pPr>
      <w:numPr>
        <w:numId w:val="17"/>
      </w:numPr>
    </w:pPr>
  </w:style>
  <w:style w:type="numbering" w:customStyle="1" w:styleId="WWNum18">
    <w:name w:val="WWNum18"/>
    <w:basedOn w:val="Bezpopisa"/>
    <w:pPr>
      <w:numPr>
        <w:numId w:val="18"/>
      </w:numPr>
    </w:pPr>
  </w:style>
  <w:style w:type="numbering" w:customStyle="1" w:styleId="WWNum19">
    <w:name w:val="WWNum19"/>
    <w:basedOn w:val="Bezpopisa"/>
    <w:pPr>
      <w:numPr>
        <w:numId w:val="19"/>
      </w:numPr>
    </w:pPr>
  </w:style>
  <w:style w:type="numbering" w:customStyle="1" w:styleId="WWNum20">
    <w:name w:val="WWNum20"/>
    <w:basedOn w:val="Bezpopisa"/>
    <w:pPr>
      <w:numPr>
        <w:numId w:val="20"/>
      </w:numPr>
    </w:pPr>
  </w:style>
  <w:style w:type="numbering" w:customStyle="1" w:styleId="WWNum21">
    <w:name w:val="WWNum21"/>
    <w:basedOn w:val="Bezpopisa"/>
    <w:pPr>
      <w:numPr>
        <w:numId w:val="21"/>
      </w:numPr>
    </w:pPr>
  </w:style>
  <w:style w:type="numbering" w:customStyle="1" w:styleId="WWNum22">
    <w:name w:val="WWNum22"/>
    <w:basedOn w:val="Bezpopisa"/>
    <w:pPr>
      <w:numPr>
        <w:numId w:val="22"/>
      </w:numPr>
    </w:pPr>
  </w:style>
  <w:style w:type="numbering" w:customStyle="1" w:styleId="WWNum23">
    <w:name w:val="WWNum23"/>
    <w:basedOn w:val="Bezpopisa"/>
    <w:pPr>
      <w:numPr>
        <w:numId w:val="23"/>
      </w:numPr>
    </w:pPr>
  </w:style>
  <w:style w:type="numbering" w:customStyle="1" w:styleId="WWNum24">
    <w:name w:val="WWNum24"/>
    <w:basedOn w:val="Bezpopisa"/>
    <w:pPr>
      <w:numPr>
        <w:numId w:val="24"/>
      </w:numPr>
    </w:pPr>
  </w:style>
  <w:style w:type="numbering" w:customStyle="1" w:styleId="WWNum25">
    <w:name w:val="WWNum25"/>
    <w:basedOn w:val="Bezpopisa"/>
    <w:pPr>
      <w:numPr>
        <w:numId w:val="25"/>
      </w:numPr>
    </w:pPr>
  </w:style>
  <w:style w:type="numbering" w:customStyle="1" w:styleId="WWNum26">
    <w:name w:val="WWNum26"/>
    <w:basedOn w:val="Bezpopisa"/>
    <w:pPr>
      <w:numPr>
        <w:numId w:val="26"/>
      </w:numPr>
    </w:pPr>
  </w:style>
  <w:style w:type="numbering" w:customStyle="1" w:styleId="WWNum27">
    <w:name w:val="WWNum27"/>
    <w:basedOn w:val="Bezpopisa"/>
    <w:pPr>
      <w:numPr>
        <w:numId w:val="27"/>
      </w:numPr>
    </w:pPr>
  </w:style>
  <w:style w:type="numbering" w:customStyle="1" w:styleId="WWNum28">
    <w:name w:val="WWNum28"/>
    <w:basedOn w:val="Bezpopisa"/>
    <w:pPr>
      <w:numPr>
        <w:numId w:val="28"/>
      </w:numPr>
    </w:pPr>
  </w:style>
  <w:style w:type="numbering" w:customStyle="1" w:styleId="WWNum29">
    <w:name w:val="WWNum29"/>
    <w:basedOn w:val="Bezpopisa"/>
    <w:pPr>
      <w:numPr>
        <w:numId w:val="29"/>
      </w:numPr>
    </w:pPr>
  </w:style>
  <w:style w:type="numbering" w:customStyle="1" w:styleId="WWNum30">
    <w:name w:val="WWNum30"/>
    <w:basedOn w:val="Bezpopisa"/>
    <w:pPr>
      <w:numPr>
        <w:numId w:val="3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hr-HR" w:eastAsia="hr-HR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hAnsi="Times New Roman" w:cs="Mangal"/>
      <w:sz w:val="24"/>
      <w:szCs w:val="24"/>
      <w:lang w:eastAsia="zh-CN" w:bidi="hi-IN"/>
    </w:rPr>
  </w:style>
  <w:style w:type="paragraph" w:styleId="Naslov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dnaslov">
    <w:name w:val="Subtitle"/>
    <w:basedOn w:val="Naslov"/>
    <w:next w:val="Textbody"/>
    <w:pPr>
      <w:jc w:val="center"/>
    </w:pPr>
    <w:rPr>
      <w:i/>
      <w:iCs/>
    </w:r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Odlomakpopisa">
    <w:name w:val="List Paragraph"/>
    <w:basedOn w:val="Standard"/>
  </w:style>
  <w:style w:type="paragraph" w:styleId="Zaglavlje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balonia">
    <w:name w:val="Balloon Text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i/>
      <w:u w:val="none"/>
    </w:rPr>
  </w:style>
  <w:style w:type="character" w:customStyle="1" w:styleId="ListLabel3">
    <w:name w:val="ListLabel 3"/>
    <w:rPr>
      <w:rFonts w:cs="Calibri"/>
    </w:rPr>
  </w:style>
  <w:style w:type="character" w:customStyle="1" w:styleId="ListLabel4">
    <w:name w:val="ListLabel 4"/>
    <w:rPr>
      <w:b/>
    </w:rPr>
  </w:style>
  <w:style w:type="character" w:customStyle="1" w:styleId="ListLabel5">
    <w:name w:val="ListLabel 5"/>
    <w:rPr>
      <w:rFonts w:cs="Calibri"/>
      <w:i/>
      <w:u w:val="none"/>
    </w:rPr>
  </w:style>
  <w:style w:type="character" w:customStyle="1" w:styleId="ListLabel6">
    <w:name w:val="ListLabel 6"/>
    <w:rPr>
      <w:rFonts w:eastAsia="Calibri" w:cs="Tahoma"/>
    </w:rPr>
  </w:style>
  <w:style w:type="character" w:customStyle="1" w:styleId="ZaglavljeChar">
    <w:name w:val="Zaglavlje Char"/>
    <w:basedOn w:val="Zadanifontodlomka"/>
  </w:style>
  <w:style w:type="character" w:customStyle="1" w:styleId="PodnojeChar">
    <w:name w:val="Podnožje Char"/>
    <w:basedOn w:val="Zadanifontodlomka"/>
  </w:style>
  <w:style w:type="character" w:customStyle="1" w:styleId="TekstbaloniaChar">
    <w:name w:val="Tekst balončića Char"/>
    <w:basedOn w:val="Zadanifontodlomka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  <w:style w:type="numbering" w:customStyle="1" w:styleId="WWNum4">
    <w:name w:val="WWNum4"/>
    <w:basedOn w:val="Bezpopisa"/>
    <w:pPr>
      <w:numPr>
        <w:numId w:val="4"/>
      </w:numPr>
    </w:pPr>
  </w:style>
  <w:style w:type="numbering" w:customStyle="1" w:styleId="WWNum5">
    <w:name w:val="WWNum5"/>
    <w:basedOn w:val="Bezpopisa"/>
    <w:pPr>
      <w:numPr>
        <w:numId w:val="5"/>
      </w:numPr>
    </w:pPr>
  </w:style>
  <w:style w:type="numbering" w:customStyle="1" w:styleId="WWNum6">
    <w:name w:val="WWNum6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8">
    <w:name w:val="WWNum8"/>
    <w:basedOn w:val="Bezpopisa"/>
    <w:pPr>
      <w:numPr>
        <w:numId w:val="8"/>
      </w:numPr>
    </w:pPr>
  </w:style>
  <w:style w:type="numbering" w:customStyle="1" w:styleId="WWNum9">
    <w:name w:val="WWNum9"/>
    <w:basedOn w:val="Bezpopisa"/>
    <w:pPr>
      <w:numPr>
        <w:numId w:val="9"/>
      </w:numPr>
    </w:pPr>
  </w:style>
  <w:style w:type="numbering" w:customStyle="1" w:styleId="WWNum10">
    <w:name w:val="WWNum10"/>
    <w:basedOn w:val="Bezpopisa"/>
    <w:pPr>
      <w:numPr>
        <w:numId w:val="10"/>
      </w:numPr>
    </w:pPr>
  </w:style>
  <w:style w:type="numbering" w:customStyle="1" w:styleId="WWNum11">
    <w:name w:val="WWNum11"/>
    <w:basedOn w:val="Bezpopisa"/>
    <w:pPr>
      <w:numPr>
        <w:numId w:val="11"/>
      </w:numPr>
    </w:pPr>
  </w:style>
  <w:style w:type="numbering" w:customStyle="1" w:styleId="WWNum12">
    <w:name w:val="WWNum12"/>
    <w:basedOn w:val="Bezpopisa"/>
    <w:pPr>
      <w:numPr>
        <w:numId w:val="12"/>
      </w:numPr>
    </w:pPr>
  </w:style>
  <w:style w:type="numbering" w:customStyle="1" w:styleId="WWNum13">
    <w:name w:val="WWNum13"/>
    <w:basedOn w:val="Bezpopisa"/>
    <w:pPr>
      <w:numPr>
        <w:numId w:val="13"/>
      </w:numPr>
    </w:pPr>
  </w:style>
  <w:style w:type="numbering" w:customStyle="1" w:styleId="WWNum14">
    <w:name w:val="WWNum14"/>
    <w:basedOn w:val="Bezpopisa"/>
    <w:pPr>
      <w:numPr>
        <w:numId w:val="14"/>
      </w:numPr>
    </w:pPr>
  </w:style>
  <w:style w:type="numbering" w:customStyle="1" w:styleId="WWNum15">
    <w:name w:val="WWNum15"/>
    <w:basedOn w:val="Bezpopisa"/>
    <w:pPr>
      <w:numPr>
        <w:numId w:val="15"/>
      </w:numPr>
    </w:pPr>
  </w:style>
  <w:style w:type="numbering" w:customStyle="1" w:styleId="WWNum16">
    <w:name w:val="WWNum16"/>
    <w:basedOn w:val="Bezpopisa"/>
    <w:pPr>
      <w:numPr>
        <w:numId w:val="16"/>
      </w:numPr>
    </w:pPr>
  </w:style>
  <w:style w:type="numbering" w:customStyle="1" w:styleId="WWNum17">
    <w:name w:val="WWNum17"/>
    <w:basedOn w:val="Bezpopisa"/>
    <w:pPr>
      <w:numPr>
        <w:numId w:val="17"/>
      </w:numPr>
    </w:pPr>
  </w:style>
  <w:style w:type="numbering" w:customStyle="1" w:styleId="WWNum18">
    <w:name w:val="WWNum18"/>
    <w:basedOn w:val="Bezpopisa"/>
    <w:pPr>
      <w:numPr>
        <w:numId w:val="18"/>
      </w:numPr>
    </w:pPr>
  </w:style>
  <w:style w:type="numbering" w:customStyle="1" w:styleId="WWNum19">
    <w:name w:val="WWNum19"/>
    <w:basedOn w:val="Bezpopisa"/>
    <w:pPr>
      <w:numPr>
        <w:numId w:val="19"/>
      </w:numPr>
    </w:pPr>
  </w:style>
  <w:style w:type="numbering" w:customStyle="1" w:styleId="WWNum20">
    <w:name w:val="WWNum20"/>
    <w:basedOn w:val="Bezpopisa"/>
    <w:pPr>
      <w:numPr>
        <w:numId w:val="20"/>
      </w:numPr>
    </w:pPr>
  </w:style>
  <w:style w:type="numbering" w:customStyle="1" w:styleId="WWNum21">
    <w:name w:val="WWNum21"/>
    <w:basedOn w:val="Bezpopisa"/>
    <w:pPr>
      <w:numPr>
        <w:numId w:val="21"/>
      </w:numPr>
    </w:pPr>
  </w:style>
  <w:style w:type="numbering" w:customStyle="1" w:styleId="WWNum22">
    <w:name w:val="WWNum22"/>
    <w:basedOn w:val="Bezpopisa"/>
    <w:pPr>
      <w:numPr>
        <w:numId w:val="22"/>
      </w:numPr>
    </w:pPr>
  </w:style>
  <w:style w:type="numbering" w:customStyle="1" w:styleId="WWNum23">
    <w:name w:val="WWNum23"/>
    <w:basedOn w:val="Bezpopisa"/>
    <w:pPr>
      <w:numPr>
        <w:numId w:val="23"/>
      </w:numPr>
    </w:pPr>
  </w:style>
  <w:style w:type="numbering" w:customStyle="1" w:styleId="WWNum24">
    <w:name w:val="WWNum24"/>
    <w:basedOn w:val="Bezpopisa"/>
    <w:pPr>
      <w:numPr>
        <w:numId w:val="24"/>
      </w:numPr>
    </w:pPr>
  </w:style>
  <w:style w:type="numbering" w:customStyle="1" w:styleId="WWNum25">
    <w:name w:val="WWNum25"/>
    <w:basedOn w:val="Bezpopisa"/>
    <w:pPr>
      <w:numPr>
        <w:numId w:val="25"/>
      </w:numPr>
    </w:pPr>
  </w:style>
  <w:style w:type="numbering" w:customStyle="1" w:styleId="WWNum26">
    <w:name w:val="WWNum26"/>
    <w:basedOn w:val="Bezpopisa"/>
    <w:pPr>
      <w:numPr>
        <w:numId w:val="26"/>
      </w:numPr>
    </w:pPr>
  </w:style>
  <w:style w:type="numbering" w:customStyle="1" w:styleId="WWNum27">
    <w:name w:val="WWNum27"/>
    <w:basedOn w:val="Bezpopisa"/>
    <w:pPr>
      <w:numPr>
        <w:numId w:val="27"/>
      </w:numPr>
    </w:pPr>
  </w:style>
  <w:style w:type="numbering" w:customStyle="1" w:styleId="WWNum28">
    <w:name w:val="WWNum28"/>
    <w:basedOn w:val="Bezpopisa"/>
    <w:pPr>
      <w:numPr>
        <w:numId w:val="28"/>
      </w:numPr>
    </w:pPr>
  </w:style>
  <w:style w:type="numbering" w:customStyle="1" w:styleId="WWNum29">
    <w:name w:val="WWNum29"/>
    <w:basedOn w:val="Bezpopisa"/>
    <w:pPr>
      <w:numPr>
        <w:numId w:val="29"/>
      </w:numPr>
    </w:pPr>
  </w:style>
  <w:style w:type="numbering" w:customStyle="1" w:styleId="WWNum30">
    <w:name w:val="WWNum30"/>
    <w:basedOn w:val="Bezpopisa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Nikolina Cvek</cp:lastModifiedBy>
  <cp:revision>2</cp:revision>
  <cp:lastPrinted>2017-12-14T11:44:00Z</cp:lastPrinted>
  <dcterms:created xsi:type="dcterms:W3CDTF">2017-12-19T07:52:00Z</dcterms:created>
  <dcterms:modified xsi:type="dcterms:W3CDTF">2017-12-19T07:52:00Z</dcterms:modified>
</cp:coreProperties>
</file>